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DF2842" w:rsidRDefault="008942F0" w:rsidP="00527C5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2842">
        <w:rPr>
          <w:rFonts w:ascii="Times New Roman" w:hAnsi="Times New Roman" w:cs="Times New Roman"/>
          <w:b/>
          <w:sz w:val="18"/>
          <w:szCs w:val="18"/>
        </w:rPr>
        <w:t>Izvedbeni plan nastave (</w:t>
      </w:r>
      <w:r w:rsidR="0010332B" w:rsidRPr="00DF2842">
        <w:rPr>
          <w:rFonts w:ascii="Times New Roman" w:hAnsi="Times New Roman" w:cs="Times New Roman"/>
          <w:b/>
          <w:i/>
          <w:sz w:val="18"/>
          <w:szCs w:val="18"/>
        </w:rPr>
        <w:t>syllabus</w:t>
      </w:r>
      <w:r w:rsidR="00F82834" w:rsidRPr="00DF2842">
        <w:rPr>
          <w:rStyle w:val="FootnoteReference"/>
          <w:rFonts w:ascii="Times New Roman" w:hAnsi="Times New Roman" w:cs="Times New Roman"/>
          <w:sz w:val="18"/>
          <w:szCs w:val="18"/>
        </w:rPr>
        <w:footnoteReference w:id="1"/>
      </w:r>
      <w:r w:rsidRPr="00DF2842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DF2842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DF2842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DF2842" w:rsidRDefault="005C368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Sveučilište u Zadru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DF2842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DF2842" w:rsidRDefault="00847EB4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FF1020" w:rsidRPr="00DF2842">
              <w:rPr>
                <w:rFonts w:ascii="Times New Roman" w:hAnsi="Times New Roman" w:cs="Times New Roman"/>
                <w:sz w:val="18"/>
                <w:szCs w:val="18"/>
              </w:rPr>
              <w:t>./202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20" w:rsidRPr="00DF28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C368D" w:rsidRPr="00DF2842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Sportski programi za predškolsku djecu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:rsidR="005C368D" w:rsidRPr="00DF2842" w:rsidRDefault="005C368D" w:rsidP="005C368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5C368D" w:rsidRPr="00DF2842" w:rsidTr="004F2C7E">
        <w:tc>
          <w:tcPr>
            <w:tcW w:w="1802" w:type="dxa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vAlign w:val="center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Sveučilišni diplomski studij Ranog i predškolskog odgoja i obrazovanja</w:t>
            </w:r>
          </w:p>
        </w:tc>
      </w:tr>
      <w:tr w:rsidR="005C368D" w:rsidRPr="00DF2842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5C368D" w:rsidRPr="00DF2842" w:rsidRDefault="00B62292" w:rsidP="005C368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5C368D" w:rsidRPr="00DF2842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5C368D" w:rsidRPr="00DF2842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5C368D" w:rsidRPr="00DF2842" w:rsidRDefault="00B62292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</w:tr>
      <w:tr w:rsidR="005C368D" w:rsidRPr="00DF2842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:rsidR="005C368D" w:rsidRPr="00DF2842" w:rsidRDefault="00B62292" w:rsidP="005C368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DA</w:t>
            </w:r>
          </w:p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5C368D" w:rsidRPr="00DF2842" w:rsidTr="00FC2198">
        <w:tc>
          <w:tcPr>
            <w:tcW w:w="1802" w:type="dxa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Opterećenje </w:t>
            </w:r>
          </w:p>
        </w:tc>
        <w:tc>
          <w:tcPr>
            <w:tcW w:w="413" w:type="dxa"/>
          </w:tcPr>
          <w:p w:rsidR="005C368D" w:rsidRPr="00DF2842" w:rsidRDefault="005C368D" w:rsidP="005C368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6" w:type="dxa"/>
          </w:tcPr>
          <w:p w:rsidR="005C368D" w:rsidRPr="00DF2842" w:rsidRDefault="005C368D" w:rsidP="005C368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:rsidR="005C368D" w:rsidRPr="00DF2842" w:rsidRDefault="005C368D" w:rsidP="005C368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5" w:type="dxa"/>
            <w:gridSpan w:val="4"/>
          </w:tcPr>
          <w:p w:rsidR="005C368D" w:rsidRPr="00DF2842" w:rsidRDefault="005C368D" w:rsidP="005C368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:rsidR="005C368D" w:rsidRPr="00DF2842" w:rsidRDefault="005C368D" w:rsidP="005C368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6" w:type="dxa"/>
            <w:gridSpan w:val="2"/>
          </w:tcPr>
          <w:p w:rsidR="005C368D" w:rsidRPr="00DF2842" w:rsidRDefault="005C368D" w:rsidP="005C368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84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5C368D" w:rsidRPr="00DF2842" w:rsidTr="00FF1020">
        <w:tc>
          <w:tcPr>
            <w:tcW w:w="1802" w:type="dxa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Petak 14</w:t>
            </w:r>
            <w:r w:rsidR="00DF2842">
              <w:rPr>
                <w:rFonts w:ascii="Times New Roman" w:hAnsi="Times New Roman" w:cs="Times New Roman"/>
                <w:sz w:val="18"/>
                <w:szCs w:val="18"/>
              </w:rPr>
              <w:t>:00-15:</w:t>
            </w: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5C368D" w:rsidRPr="00DF2842" w:rsidRDefault="005C368D" w:rsidP="005C368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Hrvatski</w:t>
            </w:r>
          </w:p>
        </w:tc>
      </w:tr>
      <w:tr w:rsidR="005C368D" w:rsidRPr="00DF2842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5C368D" w:rsidRPr="00DF2842" w:rsidRDefault="00847EB4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1.10.2023</w:t>
            </w:r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5C368D" w:rsidRPr="00DF2842" w:rsidRDefault="00847EB4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27.1.2024</w:t>
            </w:r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C368D" w:rsidRPr="00DF2842" w:rsidTr="00FF1020">
        <w:tc>
          <w:tcPr>
            <w:tcW w:w="1802" w:type="dxa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68D" w:rsidRPr="00DF2842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68D" w:rsidRPr="00DF2842" w:rsidTr="00FF1020">
        <w:tc>
          <w:tcPr>
            <w:tcW w:w="1802" w:type="dxa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5C368D" w:rsidRPr="00DF2842" w:rsidRDefault="00847EB4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Izv.prof</w:t>
            </w:r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>.dr.sc. Jelena Alić</w:t>
            </w:r>
          </w:p>
        </w:tc>
      </w:tr>
      <w:tr w:rsidR="005C368D" w:rsidRPr="00DF2842" w:rsidTr="00FF1020">
        <w:tc>
          <w:tcPr>
            <w:tcW w:w="1802" w:type="dxa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jcetinic@unizd.hr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Uto: 10-11h</w:t>
            </w:r>
          </w:p>
        </w:tc>
      </w:tr>
      <w:tr w:rsidR="005C368D" w:rsidRPr="00DF2842" w:rsidTr="00FF1020">
        <w:tc>
          <w:tcPr>
            <w:tcW w:w="1802" w:type="dxa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5C368D" w:rsidRPr="00DF2842" w:rsidRDefault="00847EB4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Izv.prof</w:t>
            </w:r>
            <w:bookmarkStart w:id="0" w:name="_GoBack"/>
            <w:bookmarkEnd w:id="0"/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>.dr.sc. Jelena Alić</w:t>
            </w:r>
          </w:p>
        </w:tc>
      </w:tr>
      <w:tr w:rsidR="005C368D" w:rsidRPr="00DF2842" w:rsidTr="00FF1020">
        <w:tc>
          <w:tcPr>
            <w:tcW w:w="1802" w:type="dxa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Jcetinic@unizd.hr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68D" w:rsidRPr="00DF2842" w:rsidTr="00FF1020">
        <w:tc>
          <w:tcPr>
            <w:tcW w:w="1802" w:type="dxa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68D" w:rsidRPr="00DF2842" w:rsidTr="00FF1020">
        <w:tc>
          <w:tcPr>
            <w:tcW w:w="1802" w:type="dxa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68D" w:rsidRPr="00DF2842" w:rsidTr="00FF1020">
        <w:tc>
          <w:tcPr>
            <w:tcW w:w="1802" w:type="dxa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68D" w:rsidRPr="00DF2842" w:rsidTr="00FF1020">
        <w:tc>
          <w:tcPr>
            <w:tcW w:w="1802" w:type="dxa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68D" w:rsidRPr="00DF2842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68D" w:rsidRPr="00DF2842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5C368D" w:rsidRPr="00DF2842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5C368D" w:rsidRPr="00DF2842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Opće kompetencije</w:t>
            </w:r>
          </w:p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Demonstrirati temeljno poznava</w:t>
            </w:r>
            <w:r w:rsidR="00762841">
              <w:rPr>
                <w:rFonts w:ascii="Times New Roman" w:hAnsi="Times New Roman" w:cs="Times New Roman"/>
                <w:sz w:val="18"/>
                <w:szCs w:val="18"/>
              </w:rPr>
              <w:t>nje  sportskih programa koje</w:t>
            </w: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se mogu primjenjivati u radu s djecom predškolske dobi.</w:t>
            </w:r>
          </w:p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Razviti sposobnost za samostalnu organizaciju i  provođenje kinezioloških aktivnosti u okviru predškolskog odgojno- obrazovnog procesa. </w:t>
            </w:r>
          </w:p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Specifične kompetencije</w:t>
            </w:r>
          </w:p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Demonstrirati znanje za učinkovito i efikasno provođenje kinezioloških sadržaja u skladu sa razvojnim značajkama djeteta.</w:t>
            </w:r>
          </w:p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Demonstrirati znanje o biotičkim motoričkim znanjima i metodskim postupcima usvajanja; koja se kroz igru primjenjuju u predškolskom uzrastu, a kod djece omogućuju pravilan rast i razvoj.</w:t>
            </w:r>
          </w:p>
        </w:tc>
      </w:tr>
      <w:tr w:rsidR="005C368D" w:rsidRPr="00DF2842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Ishodi učenja:</w:t>
            </w:r>
          </w:p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•demonstrirati znanje iz temeljnih znanosti i njihovih disciplina kojima se tumače zakonitosti, pojave i procesi u profesionalnom polju rada, na teorijskoj i praktičnoj razini;</w:t>
            </w:r>
          </w:p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•učinkovito i djelotvorno konstruirati odgojno-obrazovni kontekst kao poticajno - razvojni, po mjeri djece i svakog djeteta posebno, u odnosu na njihove sposobnosti, mogućnosti, potrebe i interese te na tim osnovama ostvarivati integriranu odgojno-obrazovnu praksu;</w:t>
            </w:r>
          </w:p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•samostalno konstruirati, implementirati i evaluirati  u integrirani </w:t>
            </w:r>
            <w:proofErr w:type="spellStart"/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kurikul</w:t>
            </w:r>
            <w:proofErr w:type="spellEnd"/>
            <w:r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kineziološko razvojno područje koristeći aktivnosti i materijale u skladu sa suvremenim razvojnim teorijama kojima se tumači dječji razvoj;</w:t>
            </w:r>
          </w:p>
        </w:tc>
      </w:tr>
      <w:tr w:rsidR="005C368D" w:rsidRPr="00DF2842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68D" w:rsidRPr="00DF2842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5C368D" w:rsidRPr="00DF2842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5C368D" w:rsidRPr="00DF2842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ostalo:</w:t>
            </w:r>
          </w:p>
        </w:tc>
      </w:tr>
      <w:tr w:rsidR="005C368D" w:rsidRPr="00DF2842" w:rsidTr="0079745E">
        <w:tc>
          <w:tcPr>
            <w:tcW w:w="1802" w:type="dxa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100% usmeni</w:t>
            </w:r>
          </w:p>
        </w:tc>
      </w:tr>
      <w:tr w:rsidR="005C368D" w:rsidRPr="00DF2842" w:rsidTr="00FC2198">
        <w:tc>
          <w:tcPr>
            <w:tcW w:w="1802" w:type="dxa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5C368D" w:rsidRPr="00DF2842" w:rsidTr="0079745E">
        <w:tc>
          <w:tcPr>
            <w:tcW w:w="1802" w:type="dxa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veljača</w:t>
            </w:r>
          </w:p>
        </w:tc>
        <w:tc>
          <w:tcPr>
            <w:tcW w:w="2471" w:type="dxa"/>
            <w:gridSpan w:val="12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rujan</w:t>
            </w:r>
          </w:p>
        </w:tc>
      </w:tr>
      <w:tr w:rsidR="005C368D" w:rsidRPr="00DF2842" w:rsidTr="00FF1020">
        <w:tc>
          <w:tcPr>
            <w:tcW w:w="1802" w:type="dxa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5C368D" w:rsidRPr="00DF2842" w:rsidRDefault="00DF2842" w:rsidP="000C23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Nakon položenog ispita studenti će znati </w:t>
            </w: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obja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s</w:t>
            </w: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iti</w:t>
            </w: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položaj kinezioloških aktivnosti u integriranom kurikulumu predškolskog odgoja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nadalje znat</w:t>
            </w:r>
            <w:r w:rsidR="000C23B1">
              <w:rPr>
                <w:rFonts w:ascii="Times New Roman" w:eastAsia="MS Gothic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će prepoznati</w:t>
            </w: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razvojna obilježja djece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predškolske dobi</w:t>
            </w:r>
            <w:r w:rsidR="000C23B1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prepoznati</w:t>
            </w: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0C23B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će </w:t>
            </w: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vrste kinezioloških aktivnosti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te njihovu svrhu, sadržaje i posebnosti</w:t>
            </w: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 organizaciji. </w:t>
            </w:r>
            <w:r w:rsidR="000C23B1">
              <w:rPr>
                <w:rFonts w:ascii="Times New Roman" w:eastAsia="MS Gothic" w:hAnsi="Times New Roman" w:cs="Times New Roman"/>
                <w:sz w:val="18"/>
                <w:szCs w:val="18"/>
              </w:rPr>
              <w:t>Osim toga biti će u mogućnosti odrediti koji su to prostori i oprema bitni</w:t>
            </w: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za r</w:t>
            </w:r>
            <w:r w:rsidR="000C23B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ealizaciju tjelesnog vježbanja te koji </w:t>
            </w: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 mogući motorički sadržaji za kineziološke aktivnosti, </w:t>
            </w:r>
            <w:r w:rsidR="000C23B1">
              <w:rPr>
                <w:rFonts w:ascii="Times New Roman" w:eastAsia="MS Gothic" w:hAnsi="Times New Roman" w:cs="Times New Roman"/>
                <w:sz w:val="18"/>
                <w:szCs w:val="18"/>
              </w:rPr>
              <w:t>kakva</w:t>
            </w: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je organizacija tjelesnog vježbanja, odnosno moguće postave i načini raspoređivanja djece po vježbalištu te metode rada koje su potrebne za prikazivanje određenih motoričkih sadržaja, njegovog poučavanja i uvježbavanja u sigurnom okruženju za dijete. </w:t>
            </w:r>
          </w:p>
        </w:tc>
      </w:tr>
      <w:tr w:rsidR="005C368D" w:rsidRPr="00DF2842" w:rsidTr="00FC2198">
        <w:tc>
          <w:tcPr>
            <w:tcW w:w="1802" w:type="dxa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5C368D" w:rsidRPr="00DF2842" w:rsidRDefault="005C368D" w:rsidP="005C368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Tjelesna aktivnost</w:t>
            </w:r>
          </w:p>
          <w:p w:rsidR="005C368D" w:rsidRPr="00DF2842" w:rsidRDefault="005C368D" w:rsidP="005C368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Odgojna komponenta tjelesne aktivnosti</w:t>
            </w:r>
          </w:p>
          <w:p w:rsidR="005C368D" w:rsidRPr="00DF2842" w:rsidRDefault="003F583D" w:rsidP="005C368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T</w:t>
            </w:r>
            <w:r w:rsidR="005C368D"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jelovježbene aktivnosti djece predškolske dobi u slobodno vrijeme</w:t>
            </w:r>
          </w:p>
          <w:p w:rsidR="005C368D" w:rsidRPr="00DF2842" w:rsidRDefault="005C368D" w:rsidP="005C368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Razvojne značajke djece predškolske dobi</w:t>
            </w:r>
          </w:p>
          <w:p w:rsidR="005C368D" w:rsidRPr="00DF2842" w:rsidRDefault="005C368D" w:rsidP="005C368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Faze motoričkog razvoja</w:t>
            </w:r>
          </w:p>
          <w:p w:rsidR="005C368D" w:rsidRPr="00DF2842" w:rsidRDefault="000C23B1" w:rsidP="005C368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U</w:t>
            </w:r>
            <w:r w:rsidR="005C368D"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spješnost poučavanja</w:t>
            </w:r>
          </w:p>
          <w:p w:rsidR="005C368D" w:rsidRPr="00DF2842" w:rsidRDefault="005C368D" w:rsidP="005C368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Programi vježbanja</w:t>
            </w:r>
          </w:p>
          <w:p w:rsidR="005C368D" w:rsidRPr="00DF2842" w:rsidRDefault="005C368D" w:rsidP="005C368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Osnovne karakteristike sportskog programa namijenjenog djeci predškolske dobi u okviru osnovnog programa  </w:t>
            </w:r>
          </w:p>
          <w:p w:rsidR="005C368D" w:rsidRPr="00DF2842" w:rsidRDefault="005C368D" w:rsidP="005C368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Ciljevi i programski sadržaji sportskog programa</w:t>
            </w:r>
          </w:p>
          <w:p w:rsidR="005C368D" w:rsidRPr="00DF2842" w:rsidRDefault="005C368D" w:rsidP="005C368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Aktivnosti u okviru prirodnih oblika kretanja (biotička motorička znanja)</w:t>
            </w:r>
          </w:p>
          <w:p w:rsidR="005C368D" w:rsidRPr="00DF2842" w:rsidRDefault="005C368D" w:rsidP="005C368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Izrada plana i programa</w:t>
            </w:r>
          </w:p>
          <w:p w:rsidR="005C368D" w:rsidRPr="00DF2842" w:rsidRDefault="005C368D" w:rsidP="005C368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Sportsko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rekracijski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programi za djecu predškolske dobi</w:t>
            </w:r>
          </w:p>
          <w:p w:rsidR="005C368D" w:rsidRPr="00DF2842" w:rsidRDefault="005C368D" w:rsidP="005C368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Kineziološke aktivnosti na otvorenom s obzirom na vrstu programa</w:t>
            </w:r>
          </w:p>
          <w:p w:rsidR="005C368D" w:rsidRPr="00DF2842" w:rsidRDefault="005C368D" w:rsidP="005C368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Roditelj i djeca u sportu</w:t>
            </w:r>
          </w:p>
          <w:p w:rsidR="005C368D" w:rsidRPr="00DF2842" w:rsidRDefault="005C368D" w:rsidP="005C368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Utjecaj sportskih programa i izbor prvog sporta</w:t>
            </w:r>
          </w:p>
        </w:tc>
      </w:tr>
      <w:tr w:rsidR="005C368D" w:rsidRPr="00DF2842" w:rsidTr="00FF1020">
        <w:tc>
          <w:tcPr>
            <w:tcW w:w="1802" w:type="dxa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D60BC8" w:rsidRPr="00762841" w:rsidRDefault="00D60BC8" w:rsidP="007628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62841">
              <w:rPr>
                <w:rFonts w:ascii="Times New Roman" w:eastAsia="MS Gothic" w:hAnsi="Times New Roman" w:cs="Times New Roman"/>
                <w:sz w:val="18"/>
                <w:szCs w:val="18"/>
              </w:rPr>
              <w:t>Petrić, V. (2019)</w:t>
            </w:r>
            <w:r w:rsidR="00D35C22" w:rsidRPr="00762841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  <w:r w:rsidRPr="0076284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Kineziološka metodika u ranom i predškolskom odgoju i obrazovanju. Rijeka, Sveučilište u Rijeci, Učiteljski fakultet.</w:t>
            </w:r>
          </w:p>
          <w:p w:rsidR="00D60BC8" w:rsidRPr="00762841" w:rsidRDefault="00D60BC8" w:rsidP="007628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62841">
              <w:rPr>
                <w:rFonts w:ascii="Times New Roman" w:eastAsia="MS Gothic" w:hAnsi="Times New Roman" w:cs="Times New Roman"/>
                <w:sz w:val="18"/>
                <w:szCs w:val="18"/>
              </w:rPr>
              <w:t>Petrić, V. (2022) Kineziološke aktivnosti djece rane i predškolske dobi - postignuća kineziološke metodike. Rijeka, Sveučilište u Rijeci, Učiteljski fakultet.</w:t>
            </w:r>
          </w:p>
          <w:p w:rsidR="00D60BC8" w:rsidRPr="00762841" w:rsidRDefault="00D60BC8" w:rsidP="007628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762841">
              <w:rPr>
                <w:rFonts w:ascii="Times New Roman" w:eastAsia="MS Gothic" w:hAnsi="Times New Roman" w:cs="Times New Roman"/>
                <w:sz w:val="18"/>
                <w:szCs w:val="18"/>
              </w:rPr>
              <w:t>Vujičić</w:t>
            </w:r>
            <w:proofErr w:type="spellEnd"/>
            <w:r w:rsidRPr="00762841">
              <w:rPr>
                <w:rFonts w:ascii="Times New Roman" w:eastAsia="MS Gothic" w:hAnsi="Times New Roman" w:cs="Times New Roman"/>
                <w:sz w:val="18"/>
                <w:szCs w:val="18"/>
              </w:rPr>
              <w:t>, L. &amp; Petrić, V. (2021) Integrirano učenje uz pokret u ustanovama ranog odgoja. Rijeka, Sveučilište u Rijeci, Učiteljski fakultet.</w:t>
            </w:r>
          </w:p>
          <w:p w:rsidR="005C368D" w:rsidRPr="00762841" w:rsidRDefault="00D60BC8" w:rsidP="007628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762841">
              <w:rPr>
                <w:rFonts w:ascii="Times New Roman" w:eastAsia="MS Gothic" w:hAnsi="Times New Roman" w:cs="Times New Roman"/>
                <w:sz w:val="18"/>
                <w:szCs w:val="18"/>
              </w:rPr>
              <w:t>Findak</w:t>
            </w:r>
            <w:proofErr w:type="spellEnd"/>
            <w:r w:rsidR="005C368D" w:rsidRPr="0076284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V. (1995.) Metodika tjelesne i zdravstvene kulture u predškolskom odgoju. Zagreb: Školska knjiga. </w:t>
            </w:r>
          </w:p>
          <w:p w:rsidR="005C368D" w:rsidRPr="00762841" w:rsidRDefault="00D60BC8" w:rsidP="007628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762841">
              <w:rPr>
                <w:rFonts w:ascii="Times New Roman" w:eastAsia="MS Gothic" w:hAnsi="Times New Roman" w:cs="Times New Roman"/>
                <w:sz w:val="18"/>
                <w:szCs w:val="18"/>
              </w:rPr>
              <w:t>Findak</w:t>
            </w:r>
            <w:proofErr w:type="spellEnd"/>
            <w:r w:rsidRPr="00762841">
              <w:rPr>
                <w:rFonts w:ascii="Times New Roman" w:eastAsia="MS Gothic" w:hAnsi="Times New Roman" w:cs="Times New Roman"/>
                <w:sz w:val="18"/>
                <w:szCs w:val="18"/>
              </w:rPr>
              <w:t>, V. i Delija</w:t>
            </w:r>
            <w:r w:rsidR="005C368D" w:rsidRPr="0076284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, K. (2001.) Tjelesna i zdravstvena kultura u predškolskom odgoju. Zagreb: </w:t>
            </w:r>
            <w:proofErr w:type="spellStart"/>
            <w:r w:rsidR="005C368D" w:rsidRPr="00762841">
              <w:rPr>
                <w:rFonts w:ascii="Times New Roman" w:eastAsia="MS Gothic" w:hAnsi="Times New Roman" w:cs="Times New Roman"/>
                <w:sz w:val="18"/>
                <w:szCs w:val="18"/>
              </w:rPr>
              <w:t>Edip.d.o.o</w:t>
            </w:r>
            <w:proofErr w:type="spellEnd"/>
            <w:r w:rsidR="005C368D" w:rsidRPr="0076284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C368D" w:rsidRPr="00DF2842" w:rsidTr="00FF1020">
        <w:tc>
          <w:tcPr>
            <w:tcW w:w="1802" w:type="dxa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D60BC8" w:rsidRPr="00DF2842" w:rsidRDefault="00D60BC8" w:rsidP="005C36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Neljak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, B. (2009.) Kineziološka metodika u predškolskom odgoju, Zagreb: Kineziološki fakultet Sveučilišta u Zagrebu.</w:t>
            </w:r>
          </w:p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Krmpotić, M. (2014). Motorički razvoj </w:t>
            </w:r>
            <w:r w:rsidR="00D60BC8"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djece od treće do šeste godine ž</w:t>
            </w: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ivota. U I. Jukić, C. Gregov, S.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Šalaj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L. Milanović i V.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Wertheimer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ur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.) Zbornik radova 12. godišnje međunarodne konferencije „Kondicijska priprema sportaša, Zagreb, 2014. (str. 294 – 296). Zagreb: Kineziološki fakultet Sveučilišta u Zagrebu i Udruga kondicijskih trenera Hrvatske.</w:t>
            </w:r>
          </w:p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Stamenković, I. (2014). Smjernice rada s djecom predškolske dobi – primjer male sportske škole. U I. Jukić, C. Gregov, S.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Šalaj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L. Milanović i V.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Wertheimer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ur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.) Zbornik radova 12. godišnje međunarodne konferencije „Kondicijska priprema sportaša, Zagreb, 2014. (str. 327 – 331). Zagreb: Kineziološki fakultet Sveučilišta u Zagrebu i Udruga kondicijskih trenera Hrvatske.</w:t>
            </w:r>
          </w:p>
          <w:p w:rsidR="00D60BC8" w:rsidRPr="00DF2842" w:rsidRDefault="00D60BC8" w:rsidP="00D60B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Gavin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M.,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Dowahen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S. i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Izanberg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N. (2007.) Dijete u formi, Praktični vodič za odgoj zdrave i aktivne djece- od novorođenčeta do tinejdžera. Zagreb: Mozaik knjiga. </w:t>
            </w:r>
          </w:p>
          <w:p w:rsidR="00D60BC8" w:rsidRPr="00DF2842" w:rsidRDefault="004C3BE9" w:rsidP="00D60B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 xml:space="preserve">Greblo, Z. i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Logek</w:t>
            </w:r>
            <w:proofErr w:type="spellEnd"/>
            <w:r w:rsidR="00D60BC8"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M. (2003.) Roditeljska potpora djeci u momčadskim i ostalim sportovima. Zagreb: Kineziološki fakultet. </w:t>
            </w:r>
          </w:p>
          <w:p w:rsidR="00D60BC8" w:rsidRPr="00DF2842" w:rsidRDefault="00D60BC8" w:rsidP="00D60B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Hraski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Ž.(2002). Utjecaj programiranih tjelesnih aktivnosti na rast i razvoj djece predškolske dobi. u: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Findak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, V. (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ur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.), Zbornik radova 11. ljetne škole kineziologa Republike Hrvatske Programiranje rada u području edukacije, sporta, sportske rekreacije i kineziterapije, Rovinj, 22. - 26. lipnja 2002. Zagreb: Hrvatski kineziološki savez, 242-243.</w:t>
            </w:r>
          </w:p>
          <w:p w:rsidR="00D60BC8" w:rsidRPr="00DF2842" w:rsidRDefault="00D60BC8" w:rsidP="00D60B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Hraski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Ž. (2003).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Integrating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sport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into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kindergarten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curriculum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u: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Puhak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, S., Kristić, K. (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ur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.)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Proceedings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Book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XVIth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European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Sports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Conference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Making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Sport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Attractive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for All, Dubrovnik,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September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24 - 26, 2003, Zagreb: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Ministry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Education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Sport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Republic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Croatia, 108-112.</w:t>
            </w:r>
          </w:p>
          <w:p w:rsidR="00D60BC8" w:rsidRPr="00DF2842" w:rsidRDefault="00D60BC8" w:rsidP="00D60B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Hraski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M.,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Kijuk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M.,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Hraski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Ž. (2008).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Differences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motor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efficency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girls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boys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involved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kindergarten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sports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program. u: Prskalo, I.,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Findak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V.,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Strel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, J. (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ur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Proceedings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2nd International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Conference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Advances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Systems Research - 2nd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Special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Focus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Symposium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on Kinesiological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Education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answer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contemporary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school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Zadar,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Noveber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12 - 16, 2008, Zagreb: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Faculty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Teacher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Education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, 176-182.</w:t>
            </w:r>
          </w:p>
          <w:p w:rsidR="00D60BC8" w:rsidRPr="00DF2842" w:rsidRDefault="00D60BC8" w:rsidP="00D60B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Hraski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Ž. (2005). Načela realizacije sportskih programa za djecu predškolske dobi. u: 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Kunstek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, M. i sur. (</w:t>
            </w: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ur</w:t>
            </w:r>
            <w:proofErr w:type="spellEnd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.) Zbornik radova Međunarodnog skupa Dijete u kretanju, Dani dječjih vrtića grada Zagreba, 2005, Zagreb: Gradski ured</w:t>
            </w:r>
            <w:r w:rsidR="004C3BE9"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za obrazovanje i šport, 20-24.</w:t>
            </w:r>
          </w:p>
          <w:p w:rsidR="00D60BC8" w:rsidRPr="00DF2842" w:rsidRDefault="004C3BE9" w:rsidP="00D60B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Karković</w:t>
            </w:r>
            <w:proofErr w:type="spellEnd"/>
            <w:r w:rsidR="00D60BC8"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R. (1998.) Roditelj i dijete u športu. Zagreb: </w:t>
            </w:r>
            <w:proofErr w:type="spellStart"/>
            <w:r w:rsidR="00D60BC8"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Oktar</w:t>
            </w:r>
            <w:proofErr w:type="spellEnd"/>
            <w:r w:rsidR="00D60BC8"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:rsidR="00D60BC8" w:rsidRPr="00DF2842" w:rsidRDefault="004C3BE9" w:rsidP="00D60B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Lazar</w:t>
            </w:r>
            <w:r w:rsidR="00D60BC8"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M. (2007.) Igra i njezin utjecaj na tjelesni razvoj. Đakovo: Tempo. </w:t>
            </w:r>
          </w:p>
          <w:p w:rsidR="00D60BC8" w:rsidRPr="00DF2842" w:rsidRDefault="004C3BE9" w:rsidP="005C36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Sindik</w:t>
            </w:r>
            <w:proofErr w:type="spellEnd"/>
            <w:r w:rsidR="00D60BC8"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J. (2008.) Sport za svako dijete : kako odabrati pravi sport, brinuti se o zdravlju i osigurati pozitivno iskustvo. Lekenik: Ostvarenje. </w:t>
            </w:r>
          </w:p>
        </w:tc>
      </w:tr>
      <w:tr w:rsidR="005C368D" w:rsidRPr="00DF2842" w:rsidTr="00FF1020">
        <w:tc>
          <w:tcPr>
            <w:tcW w:w="1802" w:type="dxa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On line zbornici Ljetne škole kineziologa</w:t>
            </w:r>
          </w:p>
        </w:tc>
      </w:tr>
      <w:tr w:rsidR="005C368D" w:rsidRPr="00DF2842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5C368D" w:rsidRPr="00DF2842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5C368D" w:rsidRPr="00DF2842" w:rsidRDefault="00B62292" w:rsidP="005C368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368D" w:rsidRPr="00DF284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C368D" w:rsidRPr="00DF2842" w:rsidRDefault="005C368D" w:rsidP="005C368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5C368D" w:rsidRPr="00DF2842" w:rsidRDefault="00B62292" w:rsidP="005C368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368D" w:rsidRPr="00DF284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C368D" w:rsidRPr="00DF2842" w:rsidRDefault="005C368D" w:rsidP="005C368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5C368D" w:rsidRPr="00DF2842" w:rsidRDefault="00B62292" w:rsidP="005C368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368D" w:rsidRPr="00DF284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5C368D" w:rsidRPr="00DF2842" w:rsidRDefault="00B62292" w:rsidP="005C368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368D" w:rsidRPr="00DF284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C368D" w:rsidRPr="00DF2842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5C368D" w:rsidRPr="00DF2842" w:rsidRDefault="00B62292" w:rsidP="005C368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368D" w:rsidRPr="00DF284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5C368D" w:rsidRPr="00DF2842" w:rsidRDefault="00B62292" w:rsidP="005C368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368D" w:rsidRPr="00DF284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5C368D" w:rsidRPr="00DF2842" w:rsidRDefault="00B62292" w:rsidP="005C368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368D" w:rsidRPr="00DF284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C368D" w:rsidRPr="00DF2842" w:rsidRDefault="005C368D" w:rsidP="005C368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C368D" w:rsidRPr="00DF2842" w:rsidRDefault="00B62292" w:rsidP="005C368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368D" w:rsidRPr="00DF284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C368D" w:rsidRPr="00DF2842" w:rsidRDefault="005C368D" w:rsidP="005C368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5C368D" w:rsidRPr="00DF2842" w:rsidRDefault="00B62292" w:rsidP="005C368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368D" w:rsidRPr="00DF284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5C368D" w:rsidRPr="00DF2842" w:rsidRDefault="00B62292" w:rsidP="005C368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368D" w:rsidRPr="00DF284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5C368D" w:rsidRPr="00DF2842" w:rsidTr="00FC2198">
        <w:tc>
          <w:tcPr>
            <w:tcW w:w="1802" w:type="dxa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100% usmeni</w:t>
            </w:r>
          </w:p>
        </w:tc>
      </w:tr>
      <w:tr w:rsidR="005C368D" w:rsidRPr="00DF2842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061" w:type="dxa"/>
            <w:gridSpan w:val="27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5C368D" w:rsidRPr="00DF2842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061" w:type="dxa"/>
            <w:gridSpan w:val="27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5C368D" w:rsidRPr="00DF2842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061" w:type="dxa"/>
            <w:gridSpan w:val="27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5C368D" w:rsidRPr="00DF2842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061" w:type="dxa"/>
            <w:gridSpan w:val="27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5C368D" w:rsidRPr="00DF2842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6061" w:type="dxa"/>
            <w:gridSpan w:val="27"/>
            <w:vAlign w:val="center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5C368D" w:rsidRPr="00DF2842" w:rsidTr="00FC2198">
        <w:tc>
          <w:tcPr>
            <w:tcW w:w="1802" w:type="dxa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5C368D" w:rsidRPr="00DF2842" w:rsidRDefault="00B62292" w:rsidP="005C3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8D" w:rsidRPr="00DF2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368D"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5C368D" w:rsidRPr="00DF2842" w:rsidTr="00FC2198">
        <w:tc>
          <w:tcPr>
            <w:tcW w:w="1802" w:type="dxa"/>
            <w:shd w:val="clear" w:color="auto" w:fill="F2F2F2" w:themeFill="background1" w:themeFillShade="F2"/>
          </w:tcPr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</w:t>
            </w:r>
          </w:p>
          <w:p w:rsidR="005C368D" w:rsidRPr="00DF2842" w:rsidRDefault="005C368D" w:rsidP="005C368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42">
              <w:rPr>
                <w:rFonts w:ascii="Times New Roman" w:hAnsi="Times New Roman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DF2842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DF2842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DF2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DF2842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>U elektronskoj komunikaciji bit će odgovarano samo na poruke koje dolaze s poznatih adresa s imenom i prezimenom, te koje su napisane hrvatskim standardom i primjerenim akademskim stilom.</w:t>
            </w:r>
          </w:p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5C368D" w:rsidRPr="00DF2842" w:rsidRDefault="005C368D" w:rsidP="005C368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F284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studentima/cama potrebni AAI računi. </w:t>
            </w:r>
            <w:r w:rsidRPr="00DF2842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:rsidR="00794496" w:rsidRPr="00DF2842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DF28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92" w:rsidRDefault="00B62292" w:rsidP="009947BA">
      <w:pPr>
        <w:spacing w:before="0" w:after="0"/>
      </w:pPr>
      <w:r>
        <w:separator/>
      </w:r>
    </w:p>
  </w:endnote>
  <w:endnote w:type="continuationSeparator" w:id="0">
    <w:p w:rsidR="00B62292" w:rsidRDefault="00B6229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92" w:rsidRDefault="00B62292" w:rsidP="009947BA">
      <w:pPr>
        <w:spacing w:before="0" w:after="0"/>
      </w:pPr>
      <w:r>
        <w:separator/>
      </w:r>
    </w:p>
  </w:footnote>
  <w:footnote w:type="continuationSeparator" w:id="0">
    <w:p w:rsidR="00B62292" w:rsidRDefault="00B62292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4BC"/>
    <w:multiLevelType w:val="hybridMultilevel"/>
    <w:tmpl w:val="5464E0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0889"/>
    <w:multiLevelType w:val="hybridMultilevel"/>
    <w:tmpl w:val="627A3AF6"/>
    <w:lvl w:ilvl="0" w:tplc="CE52A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60B0E"/>
    <w:multiLevelType w:val="hybridMultilevel"/>
    <w:tmpl w:val="A7785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E29D6"/>
    <w:multiLevelType w:val="hybridMultilevel"/>
    <w:tmpl w:val="16D658B0"/>
    <w:lvl w:ilvl="0" w:tplc="CE52A700">
      <w:start w:val="1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5C30"/>
    <w:rsid w:val="000C0578"/>
    <w:rsid w:val="000C23B1"/>
    <w:rsid w:val="000F276A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3F583D"/>
    <w:rsid w:val="00403A54"/>
    <w:rsid w:val="00453362"/>
    <w:rsid w:val="00461219"/>
    <w:rsid w:val="00470F6D"/>
    <w:rsid w:val="00483BC3"/>
    <w:rsid w:val="004B1B3D"/>
    <w:rsid w:val="004B553E"/>
    <w:rsid w:val="004C3BE9"/>
    <w:rsid w:val="00507C65"/>
    <w:rsid w:val="00527C5F"/>
    <w:rsid w:val="005353ED"/>
    <w:rsid w:val="005514C3"/>
    <w:rsid w:val="005C368D"/>
    <w:rsid w:val="005E1668"/>
    <w:rsid w:val="005E5F80"/>
    <w:rsid w:val="005F6E0B"/>
    <w:rsid w:val="0062328F"/>
    <w:rsid w:val="00684BBC"/>
    <w:rsid w:val="006B4920"/>
    <w:rsid w:val="00700D7A"/>
    <w:rsid w:val="0070153A"/>
    <w:rsid w:val="00721260"/>
    <w:rsid w:val="007361E7"/>
    <w:rsid w:val="007368EB"/>
    <w:rsid w:val="00762841"/>
    <w:rsid w:val="0078125F"/>
    <w:rsid w:val="007928E2"/>
    <w:rsid w:val="00794496"/>
    <w:rsid w:val="007967CC"/>
    <w:rsid w:val="0079745E"/>
    <w:rsid w:val="00797B40"/>
    <w:rsid w:val="007C43A4"/>
    <w:rsid w:val="007D4D2D"/>
    <w:rsid w:val="00847EB4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AE40B0"/>
    <w:rsid w:val="00B62292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35C22"/>
    <w:rsid w:val="00D5334D"/>
    <w:rsid w:val="00D5523D"/>
    <w:rsid w:val="00D60BC8"/>
    <w:rsid w:val="00D944DF"/>
    <w:rsid w:val="00DD110C"/>
    <w:rsid w:val="00DE6D53"/>
    <w:rsid w:val="00DF2842"/>
    <w:rsid w:val="00E06E39"/>
    <w:rsid w:val="00E07D73"/>
    <w:rsid w:val="00E17D18"/>
    <w:rsid w:val="00E30E67"/>
    <w:rsid w:val="00E34325"/>
    <w:rsid w:val="00EB5A72"/>
    <w:rsid w:val="00F02A8F"/>
    <w:rsid w:val="00F22855"/>
    <w:rsid w:val="00F513E0"/>
    <w:rsid w:val="00F51C0B"/>
    <w:rsid w:val="00F566DA"/>
    <w:rsid w:val="00F82834"/>
    <w:rsid w:val="00F84F5E"/>
    <w:rsid w:val="00FB6411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0106-19A5-4A2D-825C-312122F9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jalic</cp:lastModifiedBy>
  <cp:revision>2</cp:revision>
  <cp:lastPrinted>2021-02-12T11:27:00Z</cp:lastPrinted>
  <dcterms:created xsi:type="dcterms:W3CDTF">2023-09-22T10:14:00Z</dcterms:created>
  <dcterms:modified xsi:type="dcterms:W3CDTF">2023-09-22T10:14:00Z</dcterms:modified>
</cp:coreProperties>
</file>